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69"/>
        <w:gridCol w:w="1200"/>
        <w:gridCol w:w="1650"/>
        <w:gridCol w:w="678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1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60" w:lineRule="exact"/>
              <w:ind w:left="0" w:right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w w:val="100"/>
                <w:kern w:val="2"/>
                <w:sz w:val="44"/>
                <w:szCs w:val="44"/>
                <w:lang w:val="en-US" w:eastAsia="zh-CN" w:bidi="ar-SA"/>
              </w:rPr>
              <w:t xml:space="preserve">      2023年校级党建研究课题第二批结题名单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9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669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项目编号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负责人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6788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课题名称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23hzxydj02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姜杨慧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重点课题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推进高校党建融合师生需求工作的路径研究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23hzxydj05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高宏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重点课题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新时代加强和改进高校组织员队伍建设的研究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23hzxydj06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季岐卫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重点课题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习近平总书记关于高校党建重要论述研究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23hzxydj07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黄翔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新时代高校党建工作引领班级建设的策略研究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23hzxydj08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许雷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新时代湖院特色廉洁教育体系构建的实践与探索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23hzxydj09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郝利峰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党建引领下的高校 “抓院促系、整校建强”工程研究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23hzxydj10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王世文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大学生多维度一体化思政教育引领模式研究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23hzxydj11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陈楠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党建引领“一站式”学生社区育人模式探究——以湖州学院为例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23hzxydj12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王康康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二级学院基层党支部专业特色样板支部建设路径探究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23hzxydj13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李晓瑛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党建引领的校企地党建共同体建设研究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23hzxydj14</w:t>
            </w:r>
          </w:p>
        </w:tc>
        <w:tc>
          <w:tcPr>
            <w:tcW w:w="120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王刚</w:t>
            </w:r>
          </w:p>
        </w:tc>
        <w:tc>
          <w:tcPr>
            <w:tcW w:w="1650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6788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党建与业务深度融合助推高水平应用型大学建设</w:t>
            </w:r>
          </w:p>
        </w:tc>
        <w:tc>
          <w:tcPr>
            <w:tcW w:w="168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7D8D"/>
    <w:rsid w:val="1F9B705E"/>
    <w:rsid w:val="349069E1"/>
    <w:rsid w:val="37684704"/>
    <w:rsid w:val="3E485F69"/>
    <w:rsid w:val="4B253D93"/>
    <w:rsid w:val="527A1B03"/>
    <w:rsid w:val="58627D7F"/>
    <w:rsid w:val="70B8575E"/>
    <w:rsid w:val="7F1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4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5">
    <w:name w:val="Plain Text"/>
    <w:next w:val="4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cp:lastPrinted>2024-09-24T02:29:00Z</cp:lastPrinted>
  <dcterms:modified xsi:type="dcterms:W3CDTF">2024-09-25T00:13:56Z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